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0F" w:rsidRDefault="00D60A0F" w:rsidP="00D60A0F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44"/>
          <w:szCs w:val="44"/>
        </w:rPr>
      </w:pPr>
      <w:proofErr w:type="spellStart"/>
      <w:r w:rsidRPr="00D60A0F">
        <w:rPr>
          <w:rFonts w:ascii="Times" w:hAnsi="Times" w:cs="Times"/>
          <w:sz w:val="44"/>
          <w:szCs w:val="44"/>
        </w:rPr>
        <w:t>ThyssenKrupp</w:t>
      </w:r>
      <w:proofErr w:type="spellEnd"/>
      <w:r w:rsidRPr="00D60A0F">
        <w:rPr>
          <w:rFonts w:ascii="Times" w:hAnsi="Times" w:cs="Times"/>
          <w:sz w:val="44"/>
          <w:szCs w:val="44"/>
        </w:rPr>
        <w:t xml:space="preserve"> et Tata fusionnent leur acier en </w:t>
      </w:r>
      <w:proofErr w:type="spellStart"/>
      <w:r w:rsidRPr="00D60A0F">
        <w:rPr>
          <w:rFonts w:ascii="Times" w:hAnsi="Times" w:cs="Times"/>
          <w:sz w:val="44"/>
          <w:szCs w:val="44"/>
        </w:rPr>
        <w:t>Europe</w:t>
      </w:r>
    </w:p>
    <w:p w:rsidR="00D60A0F" w:rsidRPr="00D60A0F" w:rsidRDefault="00D60A0F" w:rsidP="00D60A0F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40"/>
          <w:szCs w:val="40"/>
        </w:rPr>
        <w:t>ThyssenKrupp</w:t>
      </w:r>
      <w:proofErr w:type="spellEnd"/>
      <w:r>
        <w:rPr>
          <w:rFonts w:ascii="Times" w:hAnsi="Times" w:cs="Times"/>
          <w:sz w:val="40"/>
          <w:szCs w:val="40"/>
        </w:rPr>
        <w:t xml:space="preserve"> et Tata </w:t>
      </w:r>
      <w:proofErr w:type="spellStart"/>
      <w:r>
        <w:rPr>
          <w:rFonts w:ascii="Times" w:hAnsi="Times" w:cs="Times"/>
          <w:sz w:val="40"/>
          <w:szCs w:val="40"/>
        </w:rPr>
        <w:t>Steel</w:t>
      </w:r>
      <w:proofErr w:type="spellEnd"/>
      <w:r>
        <w:rPr>
          <w:rFonts w:ascii="Times" w:hAnsi="Times" w:cs="Times"/>
          <w:sz w:val="40"/>
          <w:szCs w:val="40"/>
        </w:rPr>
        <w:t xml:space="preserve"> ont annoncé le 20septembre la signature d’un protocole d’accord sur la fusion de leurs pôles acier en Europe.</w:t>
      </w:r>
      <w:bookmarkStart w:id="0" w:name="_GoBack"/>
      <w:bookmarkEnd w:id="0"/>
    </w:p>
    <w:p w:rsidR="00D60A0F" w:rsidRDefault="00D60A0F" w:rsidP="00D60A0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La coentreprise </w:t>
      </w:r>
      <w:proofErr w:type="spellStart"/>
      <w:r>
        <w:rPr>
          <w:rFonts w:ascii="Times" w:hAnsi="Times" w:cs="Times"/>
          <w:sz w:val="40"/>
          <w:szCs w:val="40"/>
        </w:rPr>
        <w:t>ThyssenKrupp</w:t>
      </w:r>
      <w:proofErr w:type="spellEnd"/>
      <w:r>
        <w:rPr>
          <w:rFonts w:ascii="Times" w:hAnsi="Times" w:cs="Times"/>
          <w:sz w:val="40"/>
          <w:szCs w:val="40"/>
        </w:rPr>
        <w:t xml:space="preserve"> </w:t>
      </w:r>
      <w:hyperlink r:id="rId6" w:history="1">
        <w:r>
          <w:rPr>
            <w:rFonts w:ascii="Times" w:hAnsi="Times" w:cs="Times"/>
            <w:sz w:val="40"/>
            <w:szCs w:val="40"/>
            <w:u w:val="single"/>
          </w:rPr>
          <w:t>Tata</w:t>
        </w:r>
      </w:hyperlink>
      <w:r>
        <w:rPr>
          <w:rFonts w:ascii="Times" w:hAnsi="Times" w:cs="Times"/>
          <w:sz w:val="40"/>
          <w:szCs w:val="40"/>
        </w:rPr>
        <w:t xml:space="preserve"> </w:t>
      </w:r>
      <w:proofErr w:type="spellStart"/>
      <w:r>
        <w:rPr>
          <w:rFonts w:ascii="Times" w:hAnsi="Times" w:cs="Times"/>
          <w:sz w:val="40"/>
          <w:szCs w:val="40"/>
        </w:rPr>
        <w:t>Steel</w:t>
      </w:r>
      <w:proofErr w:type="spellEnd"/>
      <w:r>
        <w:rPr>
          <w:rFonts w:ascii="Times" w:hAnsi="Times" w:cs="Times"/>
          <w:sz w:val="40"/>
          <w:szCs w:val="40"/>
        </w:rPr>
        <w:t>, détenue à parts égales par les deux actionnaires, produirait 21</w:t>
      </w:r>
      <w:proofErr w:type="gramStart"/>
      <w:r>
        <w:rPr>
          <w:rFonts w:ascii="Times" w:hAnsi="Times" w:cs="Times"/>
          <w:sz w:val="40"/>
          <w:szCs w:val="40"/>
        </w:rPr>
        <w:t>?millions</w:t>
      </w:r>
      <w:proofErr w:type="gramEnd"/>
      <w:r>
        <w:rPr>
          <w:rFonts w:ascii="Times" w:hAnsi="Times" w:cs="Times"/>
          <w:sz w:val="40"/>
          <w:szCs w:val="40"/>
        </w:rPr>
        <w:t xml:space="preserve"> de tonnes d’acier plat et réaliserait un chiffre d’affaires de 15 milliards d’euros. Ce qui en ferait le </w:t>
      </w:r>
      <w:proofErr w:type="spellStart"/>
      <w:r>
        <w:rPr>
          <w:rFonts w:ascii="Times" w:hAnsi="Times" w:cs="Times"/>
          <w:sz w:val="40"/>
          <w:szCs w:val="40"/>
        </w:rPr>
        <w:t>numéro</w:t>
      </w:r>
      <w:proofErr w:type="gramStart"/>
      <w:r>
        <w:rPr>
          <w:rFonts w:ascii="Times" w:hAnsi="Times" w:cs="Times"/>
          <w:sz w:val="40"/>
          <w:szCs w:val="40"/>
        </w:rPr>
        <w:t>?deux</w:t>
      </w:r>
      <w:proofErr w:type="spellEnd"/>
      <w:proofErr w:type="gramEnd"/>
      <w:r>
        <w:rPr>
          <w:rFonts w:ascii="Times" w:hAnsi="Times" w:cs="Times"/>
          <w:sz w:val="40"/>
          <w:szCs w:val="40"/>
        </w:rPr>
        <w:t xml:space="preserve"> de l’acier européen derrière </w:t>
      </w:r>
      <w:hyperlink r:id="rId7" w:history="1">
        <w:proofErr w:type="spellStart"/>
        <w:r>
          <w:rPr>
            <w:rFonts w:ascii="Times" w:hAnsi="Times" w:cs="Times"/>
            <w:sz w:val="40"/>
            <w:szCs w:val="40"/>
            <w:u w:val="single"/>
          </w:rPr>
          <w:t>ArcelorMittal</w:t>
        </w:r>
        <w:proofErr w:type="spellEnd"/>
      </w:hyperlink>
      <w:r>
        <w:rPr>
          <w:rFonts w:ascii="Times" w:hAnsi="Times" w:cs="Times"/>
          <w:sz w:val="40"/>
          <w:szCs w:val="40"/>
        </w:rPr>
        <w:t>, avec 48 000 employés répartis sur 34 sites. Du moins avant les synergies prévues. Évaluées entre 400 et 600 millions d’euros, elles entraîneraient la suppression de 4 000 postes, répartis entre production et administration et entre les deux entités.</w:t>
      </w:r>
    </w:p>
    <w:p w:rsidR="00F7045D" w:rsidRDefault="00D60A0F" w:rsidP="00D60A0F">
      <w:r>
        <w:rPr>
          <w:rFonts w:ascii="Times" w:hAnsi="Times" w:cs="Times"/>
          <w:sz w:val="40"/>
          <w:szCs w:val="40"/>
        </w:rPr>
        <w:t xml:space="preserve">Les deux sidérurgistes espèrent finaliser la création de cette coentreprise d’ici à la fin 2018, après présentation du protocole d’accord aux représentants des salariés de </w:t>
      </w:r>
      <w:proofErr w:type="spellStart"/>
      <w:r>
        <w:rPr>
          <w:rFonts w:ascii="Times" w:hAnsi="Times" w:cs="Times"/>
          <w:sz w:val="40"/>
          <w:szCs w:val="40"/>
        </w:rPr>
        <w:t>ThyssenKrupp</w:t>
      </w:r>
      <w:proofErr w:type="spellEnd"/>
      <w:r>
        <w:rPr>
          <w:rFonts w:ascii="Times" w:hAnsi="Times" w:cs="Times"/>
          <w:sz w:val="40"/>
          <w:szCs w:val="40"/>
        </w:rPr>
        <w:t>. Cette fusion intervient dans un contexte de forte concurrence, notamment des aciers importés. La production mondiale reste en surcapacité, le taux d’utilisation des usines s’élevant à seulement 72,1% en juillet.</w:t>
      </w:r>
    </w:p>
    <w:sectPr w:rsidR="00F7045D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0F"/>
    <w:rsid w:val="00B449D7"/>
    <w:rsid w:val="00D60A0F"/>
    <w:rsid w:val="00F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0A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A0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0A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A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sinenouvelle.com/tata/" TargetMode="External"/><Relationship Id="rId7" Type="http://schemas.openxmlformats.org/officeDocument/2006/relationships/hyperlink" Target="http://www.usinenouvelle.com/arcelormittal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1034</Characters>
  <Application>Microsoft Macintosh Word</Application>
  <DocSecurity>0</DocSecurity>
  <Lines>8</Lines>
  <Paragraphs>2</Paragraphs>
  <ScaleCrop>false</ScaleCrop>
  <Company>Mayers Metal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2017-10-09T13:30:00Z</dcterms:created>
  <dcterms:modified xsi:type="dcterms:W3CDTF">2017-10-09T13:32:00Z</dcterms:modified>
</cp:coreProperties>
</file>